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57F6" w14:textId="44B843DA" w:rsidR="00032F26" w:rsidRPr="00E16D21" w:rsidRDefault="00505E7E" w:rsidP="00E16D21">
      <w:pPr>
        <w:spacing w:after="80"/>
        <w:jc w:val="center"/>
        <w:rPr>
          <w:rFonts w:ascii="Century Gothic" w:hAnsi="Century Gothic"/>
          <w:color w:val="009999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3C02AD" wp14:editId="5DCD1701">
            <wp:simplePos x="0" y="0"/>
            <wp:positionH relativeFrom="column">
              <wp:posOffset>4292600</wp:posOffset>
            </wp:positionH>
            <wp:positionV relativeFrom="paragraph">
              <wp:posOffset>-622300</wp:posOffset>
            </wp:positionV>
            <wp:extent cx="2065232" cy="647700"/>
            <wp:effectExtent l="0" t="0" r="0" b="0"/>
            <wp:wrapNone/>
            <wp:docPr id="1331408295" name="Picture 1289758384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08295" name="Picture 1289758384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552" cy="64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30176" w:rsidRPr="00730176">
        <w:rPr>
          <w:rFonts w:ascii="Century Gothic" w:hAnsi="Century Gothic"/>
          <w:b/>
          <w:bCs/>
          <w:color w:val="009999"/>
          <w:sz w:val="32"/>
          <w:szCs w:val="32"/>
        </w:rPr>
        <w:t>SipTilSend</w:t>
      </w:r>
      <w:proofErr w:type="spellEnd"/>
      <w:r w:rsidR="005E2CB9">
        <w:rPr>
          <w:rFonts w:ascii="Century Gothic" w:hAnsi="Century Gothic"/>
          <w:b/>
          <w:bCs/>
          <w:color w:val="009999"/>
          <w:sz w:val="32"/>
          <w:szCs w:val="32"/>
        </w:rPr>
        <w:t xml:space="preserve"> - </w:t>
      </w:r>
      <w:r w:rsidR="00032F26">
        <w:rPr>
          <w:rFonts w:ascii="Century Gothic" w:hAnsi="Century Gothic"/>
          <w:color w:val="009999"/>
          <w:sz w:val="32"/>
          <w:szCs w:val="32"/>
        </w:rPr>
        <w:t>A reco</w:t>
      </w:r>
      <w:bookmarkStart w:id="0" w:name="_Hlk187213614"/>
      <w:r w:rsidR="00032F26">
        <w:rPr>
          <w:rFonts w:ascii="Century Gothic" w:hAnsi="Century Gothic"/>
          <w:color w:val="009999"/>
          <w:sz w:val="32"/>
          <w:szCs w:val="32"/>
        </w:rPr>
        <w:t>mmend</w:t>
      </w:r>
      <w:bookmarkEnd w:id="0"/>
      <w:r w:rsidR="00032F26">
        <w:rPr>
          <w:rFonts w:ascii="Century Gothic" w:hAnsi="Century Gothic"/>
          <w:color w:val="009999"/>
          <w:sz w:val="32"/>
          <w:szCs w:val="32"/>
        </w:rPr>
        <w:t>ed</w:t>
      </w:r>
      <w:r w:rsidR="00730176" w:rsidRPr="00F66C5D">
        <w:rPr>
          <w:rFonts w:ascii="Century Gothic" w:hAnsi="Century Gothic"/>
          <w:color w:val="009999"/>
          <w:sz w:val="32"/>
          <w:szCs w:val="32"/>
        </w:rPr>
        <w:t xml:space="preserve"> protocol</w:t>
      </w:r>
    </w:p>
    <w:tbl>
      <w:tblPr>
        <w:tblStyle w:val="TableGrid"/>
        <w:tblpPr w:leftFromText="180" w:rightFromText="180" w:vertAnchor="text" w:horzAnchor="margin" w:tblpXSpec="center" w:tblpY="34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B96AF0" w:rsidRPr="00862C87" w14:paraId="0291484C" w14:textId="77777777" w:rsidTr="00817182">
        <w:tc>
          <w:tcPr>
            <w:tcW w:w="2405" w:type="dxa"/>
            <w:vAlign w:val="center"/>
          </w:tcPr>
          <w:p w14:paraId="0D6785C8" w14:textId="63C9EBE0" w:rsidR="00B96AF0" w:rsidRPr="00862C87" w:rsidRDefault="00B96AF0" w:rsidP="00817182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 xml:space="preserve">For </w:t>
            </w:r>
            <w:r w:rsidRPr="00862C87">
              <w:rPr>
                <w:rFonts w:ascii="Century Gothic" w:hAnsi="Century Gothic"/>
                <w:b/>
                <w:bCs/>
                <w:sz w:val="23"/>
                <w:szCs w:val="23"/>
              </w:rPr>
              <w:t>6 hours</w:t>
            </w:r>
            <w:r w:rsidRPr="00862C87">
              <w:rPr>
                <w:rFonts w:ascii="Century Gothic" w:hAnsi="Century Gothic"/>
                <w:sz w:val="23"/>
                <w:szCs w:val="23"/>
              </w:rPr>
              <w:t xml:space="preserve"> </w:t>
            </w:r>
          </w:p>
          <w:p w14:paraId="5784042D" w14:textId="77777777" w:rsidR="00B96AF0" w:rsidRPr="00862C87" w:rsidRDefault="00B96AF0" w:rsidP="00817182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before surgery</w:t>
            </w:r>
          </w:p>
        </w:tc>
        <w:tc>
          <w:tcPr>
            <w:tcW w:w="7655" w:type="dxa"/>
            <w:vAlign w:val="center"/>
          </w:tcPr>
          <w:p w14:paraId="6798199C" w14:textId="77777777" w:rsidR="00B96AF0" w:rsidRPr="00862C87" w:rsidRDefault="00B96AF0" w:rsidP="00817182">
            <w:pPr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No food. No chewing gum. No sweets. No fizzy drinks.</w:t>
            </w:r>
            <w:r w:rsidR="00B84F0E" w:rsidRPr="00862C87">
              <w:rPr>
                <w:rFonts w:ascii="Century Gothic" w:hAnsi="Century Gothic"/>
                <w:sz w:val="23"/>
                <w:szCs w:val="23"/>
              </w:rPr>
              <w:t xml:space="preserve"> No soup.</w:t>
            </w:r>
          </w:p>
          <w:p w14:paraId="7EA106DD" w14:textId="6949CE90" w:rsidR="0011734E" w:rsidRPr="00862C87" w:rsidRDefault="0011734E" w:rsidP="00817182">
            <w:pPr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(</w:t>
            </w:r>
            <w:r w:rsidR="00862C87" w:rsidRPr="00862C87">
              <w:rPr>
                <w:rFonts w:ascii="Century Gothic" w:hAnsi="Century Gothic"/>
                <w:sz w:val="23"/>
                <w:szCs w:val="23"/>
              </w:rPr>
              <w:t>Infants</w:t>
            </w:r>
            <w:r w:rsidRPr="00862C87">
              <w:rPr>
                <w:rFonts w:ascii="Century Gothic" w:hAnsi="Century Gothic"/>
                <w:sz w:val="23"/>
                <w:szCs w:val="23"/>
              </w:rPr>
              <w:t xml:space="preserve"> may have breast milk until 3 hours before surgery.)</w:t>
            </w:r>
          </w:p>
        </w:tc>
      </w:tr>
      <w:tr w:rsidR="00B96AF0" w:rsidRPr="00862C87" w14:paraId="26EC953F" w14:textId="77777777" w:rsidTr="00817182">
        <w:tc>
          <w:tcPr>
            <w:tcW w:w="2405" w:type="dxa"/>
            <w:vAlign w:val="center"/>
          </w:tcPr>
          <w:p w14:paraId="1A8F3067" w14:textId="77777777" w:rsidR="00B96AF0" w:rsidRPr="00862C87" w:rsidRDefault="00B96AF0" w:rsidP="00817182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From 6 hours </w:t>
            </w:r>
            <w:r w:rsidRPr="00862C87">
              <w:rPr>
                <w:rFonts w:ascii="Century Gothic" w:hAnsi="Century Gothic"/>
                <w:sz w:val="23"/>
                <w:szCs w:val="23"/>
              </w:rPr>
              <w:t>before surgery</w:t>
            </w:r>
            <w:r w:rsidRPr="00862C87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 until 2 hours</w:t>
            </w:r>
            <w:r w:rsidRPr="00862C87">
              <w:rPr>
                <w:rFonts w:ascii="Century Gothic" w:hAnsi="Century Gothic"/>
                <w:sz w:val="23"/>
                <w:szCs w:val="23"/>
              </w:rPr>
              <w:t xml:space="preserve"> before surgery</w:t>
            </w:r>
          </w:p>
        </w:tc>
        <w:tc>
          <w:tcPr>
            <w:tcW w:w="7655" w:type="dxa"/>
            <w:vAlign w:val="center"/>
          </w:tcPr>
          <w:p w14:paraId="02409A05" w14:textId="77777777" w:rsidR="00B96AF0" w:rsidRPr="00862C87" w:rsidRDefault="00B96AF0" w:rsidP="00817182">
            <w:pPr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 xml:space="preserve">You may drink unlimited clear fluids:  </w:t>
            </w:r>
            <w:r w:rsidRPr="00862C87">
              <w:rPr>
                <w:rFonts w:ascii="Century Gothic" w:hAnsi="Century Gothic"/>
                <w:color w:val="009999"/>
                <w:sz w:val="23"/>
                <w:szCs w:val="23"/>
              </w:rPr>
              <w:t xml:space="preserve">water </w:t>
            </w:r>
          </w:p>
          <w:p w14:paraId="03615796" w14:textId="77777777" w:rsidR="00B96AF0" w:rsidRPr="00862C87" w:rsidRDefault="00B96AF0" w:rsidP="00817182">
            <w:pPr>
              <w:ind w:left="3600" w:firstLine="720"/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color w:val="009999"/>
                <w:sz w:val="23"/>
                <w:szCs w:val="23"/>
              </w:rPr>
              <w:t>black tea or black coffee</w:t>
            </w:r>
          </w:p>
          <w:p w14:paraId="4869B796" w14:textId="77777777" w:rsidR="00B96AF0" w:rsidRPr="00862C87" w:rsidRDefault="00B96AF0" w:rsidP="00817182">
            <w:pPr>
              <w:ind w:left="3600" w:firstLine="720"/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color w:val="009999"/>
                <w:sz w:val="23"/>
                <w:szCs w:val="23"/>
              </w:rPr>
              <w:t>squash or juice without bits</w:t>
            </w:r>
          </w:p>
          <w:p w14:paraId="1AB4D8C4" w14:textId="77777777" w:rsidR="00B96AF0" w:rsidRPr="00862C87" w:rsidRDefault="00B96AF0" w:rsidP="00817182">
            <w:pPr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Some hospitals may give you carbohydrate drinks.</w:t>
            </w:r>
          </w:p>
        </w:tc>
      </w:tr>
      <w:tr w:rsidR="00B96AF0" w:rsidRPr="00862C87" w14:paraId="748BCE73" w14:textId="77777777" w:rsidTr="00817182">
        <w:tc>
          <w:tcPr>
            <w:tcW w:w="2405" w:type="dxa"/>
            <w:vAlign w:val="center"/>
          </w:tcPr>
          <w:p w14:paraId="12E3DDA0" w14:textId="77777777" w:rsidR="0011734E" w:rsidRPr="00862C87" w:rsidRDefault="0011734E" w:rsidP="00817182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862C87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From 2 hours </w:t>
            </w:r>
          </w:p>
          <w:p w14:paraId="5D2654A5" w14:textId="790CA4B4" w:rsidR="00B96AF0" w:rsidRPr="00862C87" w:rsidRDefault="0011734E" w:rsidP="00817182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before surgery u</w:t>
            </w:r>
            <w:r w:rsidR="00B96AF0" w:rsidRPr="00862C87">
              <w:rPr>
                <w:rFonts w:ascii="Century Gothic" w:hAnsi="Century Gothic"/>
                <w:sz w:val="23"/>
                <w:szCs w:val="23"/>
              </w:rPr>
              <w:t>ntil the operating theatre team ‘send for’ the patient</w:t>
            </w:r>
          </w:p>
          <w:p w14:paraId="2B960D97" w14:textId="100F1775" w:rsidR="00B96AF0" w:rsidRPr="00862C87" w:rsidRDefault="00B96AF0" w:rsidP="0048756C">
            <w:pPr>
              <w:jc w:val="center"/>
              <w:rPr>
                <w:rFonts w:ascii="Century Gothic" w:hAnsi="Century Gothic"/>
                <w:b/>
                <w:bCs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b/>
                <w:bCs/>
                <w:color w:val="009999"/>
                <w:sz w:val="23"/>
                <w:szCs w:val="23"/>
              </w:rPr>
              <w:t>‘Sip Til Send’</w:t>
            </w:r>
          </w:p>
        </w:tc>
        <w:tc>
          <w:tcPr>
            <w:tcW w:w="7655" w:type="dxa"/>
            <w:vAlign w:val="center"/>
          </w:tcPr>
          <w:p w14:paraId="369427C8" w14:textId="77777777" w:rsidR="00B96AF0" w:rsidRPr="00862C87" w:rsidRDefault="00B96AF0" w:rsidP="0081718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 xml:space="preserve">You may sip slowly on clear fluids: </w:t>
            </w:r>
            <w:r w:rsidRPr="00862C87">
              <w:rPr>
                <w:rFonts w:ascii="Century Gothic" w:hAnsi="Century Gothic"/>
                <w:color w:val="009999"/>
                <w:sz w:val="23"/>
                <w:szCs w:val="23"/>
              </w:rPr>
              <w:t xml:space="preserve">water </w:t>
            </w:r>
          </w:p>
          <w:p w14:paraId="6CC6F9E5" w14:textId="77777777" w:rsidR="00B96AF0" w:rsidRPr="00862C87" w:rsidRDefault="00B96AF0" w:rsidP="00817182">
            <w:pPr>
              <w:ind w:left="3600" w:firstLine="720"/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color w:val="009999"/>
                <w:sz w:val="23"/>
                <w:szCs w:val="23"/>
              </w:rPr>
              <w:t>black tea or black coffee</w:t>
            </w:r>
          </w:p>
          <w:p w14:paraId="286DC905" w14:textId="77777777" w:rsidR="00B96AF0" w:rsidRPr="00862C87" w:rsidRDefault="00B96AF0" w:rsidP="00817182">
            <w:pPr>
              <w:ind w:left="3600" w:firstLine="720"/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color w:val="009999"/>
                <w:sz w:val="23"/>
                <w:szCs w:val="23"/>
              </w:rPr>
              <w:t>squash or juice without bits</w:t>
            </w:r>
          </w:p>
          <w:p w14:paraId="16C57DFD" w14:textId="77777777" w:rsidR="00B96AF0" w:rsidRPr="00862C87" w:rsidRDefault="00B96AF0" w:rsidP="0081718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b/>
                <w:bCs/>
                <w:sz w:val="23"/>
                <w:szCs w:val="23"/>
              </w:rPr>
              <w:t>Up to 170mls per hour</w:t>
            </w:r>
            <w:r w:rsidRPr="00862C87">
              <w:rPr>
                <w:rFonts w:ascii="Century Gothic" w:hAnsi="Century Gothic"/>
                <w:sz w:val="23"/>
                <w:szCs w:val="23"/>
              </w:rPr>
              <w:t xml:space="preserve"> (that’s a standard NHS cup) until the operating team send for you</w:t>
            </w:r>
          </w:p>
          <w:p w14:paraId="317F1D17" w14:textId="2E77FDA4" w:rsidR="00B96AF0" w:rsidRPr="00862C87" w:rsidRDefault="00B96AF0" w:rsidP="0081718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9999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 xml:space="preserve">For a child: </w:t>
            </w:r>
            <w:r w:rsidR="00862C87" w:rsidRPr="00862C87">
              <w:rPr>
                <w:rFonts w:ascii="Century Gothic" w:hAnsi="Century Gothic"/>
                <w:sz w:val="23"/>
                <w:szCs w:val="23"/>
              </w:rPr>
              <w:t>up to 3ml per kilogram body weight per hour (up to 170ml per hour if 55k+). No fluids for 1 hour before anaesthesia.</w:t>
            </w:r>
          </w:p>
        </w:tc>
      </w:tr>
      <w:tr w:rsidR="00B96AF0" w:rsidRPr="00862C87" w14:paraId="28783467" w14:textId="77777777" w:rsidTr="005B47D0">
        <w:tc>
          <w:tcPr>
            <w:tcW w:w="10060" w:type="dxa"/>
            <w:gridSpan w:val="2"/>
            <w:vAlign w:val="center"/>
          </w:tcPr>
          <w:p w14:paraId="3B6839A5" w14:textId="20A74CC5" w:rsidR="00B96AF0" w:rsidRPr="00862C87" w:rsidRDefault="00B96AF0" w:rsidP="00B84F0E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This applies to all patients unless a senior clinician has requested an “opt out” for an individual patient</w:t>
            </w:r>
            <w:r w:rsidR="00862C87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r w:rsidR="00862C87" w:rsidRPr="00862C87">
              <w:rPr>
                <w:rFonts w:ascii="Century Gothic" w:hAnsi="Century Gothic"/>
                <w:sz w:val="23"/>
                <w:szCs w:val="23"/>
              </w:rPr>
              <w:t>or procedure (</w:t>
            </w:r>
            <w:proofErr w:type="spellStart"/>
            <w:r w:rsidR="00862C87" w:rsidRPr="00862C87">
              <w:rPr>
                <w:rFonts w:ascii="Century Gothic" w:hAnsi="Century Gothic"/>
                <w:sz w:val="23"/>
                <w:szCs w:val="23"/>
              </w:rPr>
              <w:t>eg</w:t>
            </w:r>
            <w:proofErr w:type="spellEnd"/>
            <w:r w:rsidR="00862C87" w:rsidRPr="00862C87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="00862C87" w:rsidRPr="00862C87">
              <w:rPr>
                <w:rFonts w:ascii="Century Gothic" w:hAnsi="Century Gothic"/>
                <w:sz w:val="23"/>
                <w:szCs w:val="23"/>
              </w:rPr>
              <w:t>Transoesphageal</w:t>
            </w:r>
            <w:proofErr w:type="spellEnd"/>
            <w:r w:rsidR="00862C87" w:rsidRPr="00862C87">
              <w:rPr>
                <w:rFonts w:ascii="Century Gothic" w:hAnsi="Century Gothic"/>
                <w:sz w:val="23"/>
                <w:szCs w:val="23"/>
              </w:rPr>
              <w:t xml:space="preserve"> Echocardiogram or Gastroscopy should have no fluid for 2 hours).</w:t>
            </w:r>
          </w:p>
        </w:tc>
      </w:tr>
      <w:tr w:rsidR="00B96AF0" w:rsidRPr="00862C87" w14:paraId="7D731FAE" w14:textId="77777777" w:rsidTr="008C3103">
        <w:tc>
          <w:tcPr>
            <w:tcW w:w="10060" w:type="dxa"/>
            <w:gridSpan w:val="2"/>
            <w:vAlign w:val="center"/>
          </w:tcPr>
          <w:p w14:paraId="41EB5D9D" w14:textId="546AE287" w:rsidR="00B96AF0" w:rsidRPr="00862C87" w:rsidRDefault="00B96AF0" w:rsidP="00B84F0E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862C87">
              <w:rPr>
                <w:rFonts w:ascii="Century Gothic" w:hAnsi="Century Gothic"/>
                <w:sz w:val="23"/>
                <w:szCs w:val="23"/>
              </w:rPr>
              <w:t>This also applies to patients having sedation.</w:t>
            </w:r>
          </w:p>
        </w:tc>
      </w:tr>
    </w:tbl>
    <w:p w14:paraId="2AD8D2E6" w14:textId="77777777" w:rsidR="00B96AF0" w:rsidRPr="00B84F0E" w:rsidRDefault="00B96AF0" w:rsidP="00032F26">
      <w:pPr>
        <w:spacing w:after="0"/>
        <w:rPr>
          <w:rFonts w:ascii="Century Gothic" w:hAnsi="Century Gothic"/>
          <w:sz w:val="12"/>
          <w:szCs w:val="12"/>
        </w:rPr>
      </w:pPr>
    </w:p>
    <w:p w14:paraId="66E02198" w14:textId="710DD56A" w:rsidR="00730176" w:rsidRDefault="00730176" w:rsidP="00032F26">
      <w:pPr>
        <w:spacing w:after="0"/>
        <w:rPr>
          <w:rFonts w:ascii="Century Gothic" w:hAnsi="Century Gothic"/>
        </w:rPr>
      </w:pPr>
      <w:r w:rsidRPr="00730176">
        <w:rPr>
          <w:rFonts w:ascii="Century Gothic" w:hAnsi="Century Gothic"/>
        </w:rPr>
        <w:t>Please see</w:t>
      </w:r>
      <w:r w:rsidR="007F194F">
        <w:rPr>
          <w:rFonts w:ascii="Century Gothic" w:hAnsi="Century Gothic"/>
        </w:rPr>
        <w:t xml:space="preserve"> the</w:t>
      </w:r>
      <w:r w:rsidRPr="00730176">
        <w:rPr>
          <w:rFonts w:ascii="Century Gothic" w:hAnsi="Century Gothic"/>
        </w:rPr>
        <w:t xml:space="preserve"> </w:t>
      </w:r>
      <w:r w:rsidRPr="007F194F">
        <w:rPr>
          <w:rFonts w:ascii="Century Gothic" w:hAnsi="Century Gothic"/>
        </w:rPr>
        <w:t>‘</w:t>
      </w:r>
      <w:proofErr w:type="spellStart"/>
      <w:r>
        <w:fldChar w:fldCharType="begin"/>
      </w:r>
      <w:r>
        <w:instrText>HYPERLINK "https://cpoc.org.uk/sip-til-send"</w:instrText>
      </w:r>
      <w:r>
        <w:fldChar w:fldCharType="separate"/>
      </w:r>
      <w:r w:rsidRPr="007F194F">
        <w:rPr>
          <w:rStyle w:val="Hyperlink"/>
          <w:rFonts w:ascii="Century Gothic" w:hAnsi="Century Gothic"/>
        </w:rPr>
        <w:t>SipTilSend</w:t>
      </w:r>
      <w:proofErr w:type="spellEnd"/>
      <w:r w:rsidRPr="007F194F">
        <w:rPr>
          <w:rStyle w:val="Hyperlink"/>
          <w:rFonts w:ascii="Century Gothic" w:hAnsi="Century Gothic"/>
        </w:rPr>
        <w:t>’</w:t>
      </w:r>
      <w:r>
        <w:fldChar w:fldCharType="end"/>
      </w:r>
      <w:r w:rsidR="007F194F">
        <w:rPr>
          <w:rFonts w:ascii="Century Gothic" w:hAnsi="Century Gothic"/>
        </w:rPr>
        <w:t xml:space="preserve"> webpage</w:t>
      </w:r>
      <w:r w:rsidR="00032F26" w:rsidRPr="007F194F">
        <w:rPr>
          <w:rFonts w:ascii="Century Gothic" w:hAnsi="Century Gothic"/>
        </w:rPr>
        <w:t>.</w:t>
      </w:r>
      <w:r w:rsidR="00B84F0E">
        <w:rPr>
          <w:rFonts w:ascii="Century Gothic" w:hAnsi="Century Gothic"/>
        </w:rPr>
        <w:t xml:space="preserve"> </w:t>
      </w:r>
      <w:r w:rsidR="00032F26">
        <w:rPr>
          <w:rFonts w:ascii="Century Gothic" w:hAnsi="Century Gothic"/>
        </w:rPr>
        <w:t xml:space="preserve">The above protocol is a pragmatic resource to enable any UK hospital to start </w:t>
      </w:r>
      <w:proofErr w:type="spellStart"/>
      <w:r w:rsidR="00032F26">
        <w:rPr>
          <w:rFonts w:ascii="Century Gothic" w:hAnsi="Century Gothic"/>
        </w:rPr>
        <w:t>SipTilSend</w:t>
      </w:r>
      <w:proofErr w:type="spellEnd"/>
      <w:r w:rsidR="00032F26">
        <w:rPr>
          <w:rFonts w:ascii="Century Gothic" w:hAnsi="Century Gothic"/>
        </w:rPr>
        <w:t xml:space="preserve"> to benefit patients.</w:t>
      </w:r>
      <w:r w:rsidR="005275DD">
        <w:rPr>
          <w:rFonts w:ascii="Century Gothic" w:hAnsi="Century Gothic"/>
        </w:rPr>
        <w:t xml:space="preserve"> We encourage NHS sites to add this as an appendix to fasting or sedation policies.</w:t>
      </w:r>
      <w:r w:rsidR="00B84F0E">
        <w:rPr>
          <w:rFonts w:ascii="Century Gothic" w:hAnsi="Century Gothic"/>
        </w:rPr>
        <w:t xml:space="preserve"> </w:t>
      </w:r>
      <w:r w:rsidRPr="00730176">
        <w:rPr>
          <w:rFonts w:ascii="Century Gothic" w:hAnsi="Century Gothic"/>
        </w:rPr>
        <w:t>Many hospitals and organisations will be happy to share their resources.</w:t>
      </w:r>
      <w:r w:rsidR="00505E7E">
        <w:rPr>
          <w:rFonts w:ascii="Century Gothic" w:hAnsi="Century Gothic"/>
        </w:rPr>
        <w:t xml:space="preserve"> @SipTilSend</w:t>
      </w:r>
    </w:p>
    <w:p w14:paraId="6843516E" w14:textId="77777777" w:rsidR="00E16D21" w:rsidRDefault="00E16D21" w:rsidP="00E16D21">
      <w:pPr>
        <w:spacing w:after="0"/>
        <w:rPr>
          <w:rFonts w:ascii="Century Gothic" w:hAnsi="Century Gothic"/>
        </w:rPr>
      </w:pPr>
      <w:r w:rsidRPr="00E16D21">
        <w:rPr>
          <w:rFonts w:ascii="Century Gothic" w:hAnsi="Century Gothic"/>
          <w:u w:val="single"/>
        </w:rPr>
        <w:t>Local variations:</w:t>
      </w:r>
    </w:p>
    <w:p w14:paraId="27F3A681" w14:textId="77777777" w:rsidR="00B84F0E" w:rsidRDefault="00F43949" w:rsidP="00B84F0E">
      <w:pPr>
        <w:pStyle w:val="ListParagraph"/>
        <w:numPr>
          <w:ilvl w:val="0"/>
          <w:numId w:val="4"/>
        </w:numPr>
        <w:spacing w:after="80"/>
        <w:rPr>
          <w:rFonts w:ascii="Century Gothic" w:hAnsi="Century Gothic"/>
        </w:rPr>
      </w:pPr>
      <w:r w:rsidRPr="00B84F0E">
        <w:rPr>
          <w:rFonts w:ascii="Century Gothic" w:hAnsi="Century Gothic"/>
        </w:rPr>
        <w:t>Some hospitals allow tea or coffee with up to 15ml of milk.</w:t>
      </w:r>
    </w:p>
    <w:p w14:paraId="778A079E" w14:textId="6933D1A0" w:rsidR="00B84F0E" w:rsidRDefault="00B84F0E" w:rsidP="00B84F0E">
      <w:pPr>
        <w:pStyle w:val="ListParagraph"/>
        <w:numPr>
          <w:ilvl w:val="0"/>
          <w:numId w:val="4"/>
        </w:numPr>
        <w:spacing w:after="80"/>
        <w:rPr>
          <w:rFonts w:ascii="Century Gothic" w:hAnsi="Century Gothic"/>
        </w:rPr>
      </w:pPr>
      <w:r>
        <w:rPr>
          <w:rFonts w:ascii="Century Gothic" w:hAnsi="Century Gothic"/>
        </w:rPr>
        <w:t>If a p</w:t>
      </w:r>
      <w:r w:rsidR="00F43949" w:rsidRPr="00B84F0E">
        <w:rPr>
          <w:rFonts w:ascii="Century Gothic" w:hAnsi="Century Gothic"/>
        </w:rPr>
        <w:t>atient</w:t>
      </w:r>
      <w:r>
        <w:rPr>
          <w:rFonts w:ascii="Century Gothic" w:hAnsi="Century Gothic"/>
        </w:rPr>
        <w:t xml:space="preserve"> has</w:t>
      </w:r>
      <w:r w:rsidR="00F43949" w:rsidRPr="00B84F0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been </w:t>
      </w:r>
      <w:r w:rsidR="00F43949" w:rsidRPr="00B84F0E">
        <w:rPr>
          <w:rFonts w:ascii="Century Gothic" w:hAnsi="Century Gothic"/>
        </w:rPr>
        <w:t>chewing gum or eating sweets</w:t>
      </w:r>
      <w:r w:rsidR="00763893">
        <w:rPr>
          <w:rFonts w:ascii="Century Gothic" w:hAnsi="Century Gothic"/>
        </w:rPr>
        <w:t>, t</w:t>
      </w:r>
      <w:r>
        <w:rPr>
          <w:rFonts w:ascii="Century Gothic" w:hAnsi="Century Gothic"/>
        </w:rPr>
        <w:t>he anaesthetist</w:t>
      </w:r>
      <w:r w:rsidR="0076389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or </w:t>
      </w:r>
      <w:r w:rsidR="00763893">
        <w:rPr>
          <w:rFonts w:ascii="Century Gothic" w:hAnsi="Century Gothic"/>
        </w:rPr>
        <w:t>sedation prescriber should decide to cancel or not, balancing risks.</w:t>
      </w:r>
    </w:p>
    <w:p w14:paraId="5F1E4764" w14:textId="5970F0E1" w:rsidR="00B96AF0" w:rsidRPr="00B84F0E" w:rsidRDefault="00E16D21" w:rsidP="0011734E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 w:rsidRPr="00B84F0E">
        <w:rPr>
          <w:rFonts w:ascii="Century Gothic" w:hAnsi="Century Gothic"/>
        </w:rPr>
        <w:t>Some hospitals allow patients to bring water bottles to drink freely up till 2 hours before surgery</w:t>
      </w:r>
      <w:r w:rsidR="00B84F0E">
        <w:rPr>
          <w:rFonts w:ascii="Century Gothic" w:hAnsi="Century Gothic"/>
        </w:rPr>
        <w:t>, but</w:t>
      </w:r>
      <w:r w:rsidRPr="00B84F0E">
        <w:rPr>
          <w:rFonts w:ascii="Century Gothic" w:hAnsi="Century Gothic"/>
        </w:rPr>
        <w:t xml:space="preserve"> </w:t>
      </w:r>
      <w:r w:rsidR="00B84F0E">
        <w:rPr>
          <w:rFonts w:ascii="Century Gothic" w:hAnsi="Century Gothic"/>
        </w:rPr>
        <w:t>bottles</w:t>
      </w:r>
      <w:r w:rsidRPr="00B84F0E">
        <w:rPr>
          <w:rFonts w:ascii="Century Gothic" w:hAnsi="Century Gothic"/>
        </w:rPr>
        <w:t xml:space="preserve"> can contaminate water </w:t>
      </w:r>
      <w:r w:rsidR="007F194F" w:rsidRPr="00B84F0E">
        <w:rPr>
          <w:rFonts w:ascii="Century Gothic" w:hAnsi="Century Gothic"/>
        </w:rPr>
        <w:t>coolers,</w:t>
      </w:r>
      <w:r w:rsidRPr="00B84F0E">
        <w:rPr>
          <w:rFonts w:ascii="Century Gothic" w:hAnsi="Century Gothic"/>
        </w:rPr>
        <w:t xml:space="preserve"> and </w:t>
      </w:r>
      <w:r w:rsidR="00B84F0E">
        <w:rPr>
          <w:rFonts w:ascii="Century Gothic" w:hAnsi="Century Gothic"/>
        </w:rPr>
        <w:t xml:space="preserve">it can be difficult to assess </w:t>
      </w:r>
      <w:r w:rsidRPr="00B84F0E">
        <w:rPr>
          <w:rFonts w:ascii="Century Gothic" w:hAnsi="Century Gothic"/>
        </w:rPr>
        <w:t>the amount drunk.</w:t>
      </w:r>
    </w:p>
    <w:p w14:paraId="72B00F0D" w14:textId="0A60403E" w:rsidR="00032F26" w:rsidRPr="00032F26" w:rsidRDefault="00032F26" w:rsidP="00032F26">
      <w:pPr>
        <w:spacing w:after="0"/>
        <w:rPr>
          <w:rFonts w:ascii="Century Gothic" w:hAnsi="Century Gothic"/>
          <w:sz w:val="14"/>
          <w:szCs w:val="14"/>
        </w:rPr>
      </w:pPr>
      <w:r w:rsidRPr="00032F26">
        <w:rPr>
          <w:rFonts w:ascii="Century Gothic" w:hAnsi="Century Gothic"/>
          <w:color w:val="009999"/>
          <w:sz w:val="20"/>
          <w:szCs w:val="20"/>
        </w:rPr>
        <w:t>References:</w:t>
      </w:r>
    </w:p>
    <w:p w14:paraId="79D9F915" w14:textId="1E160772" w:rsidR="0011734E" w:rsidRPr="0011734E" w:rsidRDefault="0011734E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hyperlink r:id="rId9" w:history="1">
        <w:r w:rsidRPr="001701EA">
          <w:rPr>
            <w:rStyle w:val="Hyperlink"/>
            <w:rFonts w:ascii="Century Gothic" w:hAnsi="Century Gothic"/>
            <w:sz w:val="16"/>
            <w:szCs w:val="16"/>
          </w:rPr>
          <w:t>https://esaic.org/guideline/pre-operative-fasting-in-children/</w:t>
        </w:r>
      </w:hyperlink>
      <w:r>
        <w:rPr>
          <w:rFonts w:ascii="Century Gothic" w:hAnsi="Century Gothic"/>
          <w:sz w:val="16"/>
          <w:szCs w:val="16"/>
        </w:rPr>
        <w:t xml:space="preserve"> </w:t>
      </w:r>
    </w:p>
    <w:p w14:paraId="37EE44FC" w14:textId="4539AA42" w:rsidR="00032F26" w:rsidRPr="00032F26" w:rsidRDefault="0011734E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0" w:history="1">
        <w:r w:rsidRPr="001701EA">
          <w:rPr>
            <w:rStyle w:val="Hyperlink"/>
            <w:rFonts w:ascii="Century Gothic" w:hAnsi="Century Gothic"/>
            <w:sz w:val="16"/>
            <w:szCs w:val="16"/>
          </w:rPr>
          <w:t>https://www.bjaopen.org/article/S2772-6096(24)00075-3/fulltext</w:t>
        </w:r>
      </w:hyperlink>
      <w:r w:rsidR="00032F26" w:rsidRPr="00032F26">
        <w:rPr>
          <w:rFonts w:ascii="Century Gothic" w:hAnsi="Century Gothic"/>
          <w:sz w:val="16"/>
          <w:szCs w:val="16"/>
        </w:rPr>
        <w:t xml:space="preserve"> </w:t>
      </w:r>
    </w:p>
    <w:p w14:paraId="4AD94433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1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https://www.shfa.scot.nhs.uk/Resources/_docs/SHFA-SipTilSend-v1.1-November-2021.pdf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0C1A2B67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2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https://associationofanaesthetists-publications.onlinelibrary.wiley.com/doi/10.1002/anr3.12271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62FFBDD9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3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https://www.sciencedirect.com/science/article/pii/S2772609624000261</w:t>
        </w:r>
      </w:hyperlink>
      <w:r w:rsidRPr="00032F26">
        <w:rPr>
          <w:rFonts w:ascii="Century Gothic" w:hAnsi="Century Gothic"/>
          <w:sz w:val="16"/>
          <w:szCs w:val="16"/>
        </w:rPr>
        <w:t xml:space="preserve">  </w:t>
      </w:r>
    </w:p>
    <w:p w14:paraId="082306DA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4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https://pubmed.ncbi.nlm.nih.gov/37982593/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42CA8494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5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https://www.bjanaesthesia.org/article/S0007-0912(19)31004-9/fulltext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0790B7AE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5E2CB9">
        <w:rPr>
          <w:rFonts w:ascii="Century Gothic" w:hAnsi="Century Gothic"/>
          <w:b/>
          <w:bCs/>
          <w:sz w:val="16"/>
          <w:szCs w:val="16"/>
        </w:rPr>
        <w:t>Video</w:t>
      </w:r>
      <w:r w:rsidRPr="00032F26">
        <w:rPr>
          <w:rFonts w:ascii="Century Gothic" w:hAnsi="Century Gothic"/>
          <w:sz w:val="16"/>
          <w:szCs w:val="16"/>
        </w:rPr>
        <w:t xml:space="preserve"> from Derby and Burton: </w:t>
      </w:r>
      <w:hyperlink r:id="rId16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https://youtu.be/ZYc3LN2hILU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55E34F53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5E2CB9">
        <w:rPr>
          <w:rFonts w:ascii="Century Gothic" w:hAnsi="Century Gothic"/>
          <w:b/>
          <w:bCs/>
          <w:sz w:val="16"/>
          <w:szCs w:val="16"/>
        </w:rPr>
        <w:t>Video</w:t>
      </w:r>
      <w:r w:rsidRPr="00032F26">
        <w:rPr>
          <w:rFonts w:ascii="Century Gothic" w:hAnsi="Century Gothic"/>
          <w:sz w:val="16"/>
          <w:szCs w:val="16"/>
        </w:rPr>
        <w:t xml:space="preserve"> from Tayside: </w:t>
      </w:r>
      <w:hyperlink r:id="rId17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https://www.youtube.com/watch?v=NlxgPRmtQLk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0C66F713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Media release from Derby and Burton: </w:t>
      </w:r>
      <w:hyperlink r:id="rId18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https://www.uhdb.nhs.uk/latest-news/new-fasting-guidance-allowing-adults-to-sip-water-before-surgery-or-procedure-launched-across-uhdb-16895/</w:t>
        </w:r>
      </w:hyperlink>
    </w:p>
    <w:p w14:paraId="65215829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South Tees: </w:t>
      </w:r>
      <w:hyperlink r:id="rId19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https://www.southtees.nhs.uk/resources/sip-til-send/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4B4008F1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Aneurin Bevan University Health Board: </w:t>
      </w:r>
      <w:hyperlink r:id="rId20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https://abuhb.nhs.wales/news/news/sip-til-send-new-fasting-guidance-allowing-patients-to-sip-water-before-surgery-or-procedure-launched/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72A3DC8A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Victoria, Australia: </w:t>
      </w:r>
      <w:hyperlink r:id="rId21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https://www.safercare.vic.gov.au/best-practice-improvement/clinical-guidance/non-urgent-elective-surgery/sip-til-send-fluid-fasting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135095EB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New South Wales </w:t>
      </w:r>
      <w:hyperlink r:id="rId22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https://aci.health.nsw.gov.au/networks/anaesthesia-perioperative-care/resources/sip-til-send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15940E8C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Dublin </w:t>
      </w:r>
      <w:hyperlink r:id="rId23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https://www.hse.ie/eng/about/who/acute-hospitals-division/hospital-groups/dublin-midlands-hospital-group/news/-sip-til-send-new-fasting-guidance-allowing-orthopaedic-patients-to-sip-water-before-surgery-launches-in-tullamore-hospital.html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18D26EC0" w14:textId="77777777" w:rsidR="0011734E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>Policy from Leicester</w:t>
      </w:r>
      <w:r w:rsidR="0011734E">
        <w:rPr>
          <w:rFonts w:ascii="Century Gothic" w:hAnsi="Century Gothic"/>
          <w:sz w:val="16"/>
          <w:szCs w:val="16"/>
        </w:rPr>
        <w:t xml:space="preserve">: </w:t>
      </w:r>
      <w:hyperlink r:id="rId24" w:history="1">
        <w:r w:rsidR="0011734E" w:rsidRPr="001701EA">
          <w:rPr>
            <w:rStyle w:val="Hyperlink"/>
            <w:rFonts w:ascii="Century Gothic" w:hAnsi="Century Gothic"/>
            <w:sz w:val="16"/>
            <w:szCs w:val="16"/>
          </w:rPr>
          <w:t>https://secure.library.leicestershospitals.nhs.uk/PAGL/Shared%20Documents/Pre%20Operative%20Fasting%20for%20Adults%20and%20Children%20UHL%20Guideline.pdf</w:t>
        </w:r>
      </w:hyperlink>
      <w:r w:rsidR="0011734E">
        <w:rPr>
          <w:rFonts w:ascii="Century Gothic" w:hAnsi="Century Gothic"/>
          <w:sz w:val="16"/>
          <w:szCs w:val="16"/>
        </w:rPr>
        <w:t xml:space="preserve"> </w:t>
      </w:r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7B3B2940" w14:textId="2379F5AB" w:rsidR="00032F26" w:rsidRPr="0011734E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11734E">
        <w:rPr>
          <w:rFonts w:ascii="Century Gothic" w:hAnsi="Century Gothic"/>
          <w:sz w:val="16"/>
          <w:szCs w:val="16"/>
        </w:rPr>
        <w:t xml:space="preserve">Resources about </w:t>
      </w:r>
      <w:proofErr w:type="spellStart"/>
      <w:r w:rsidRPr="0011734E">
        <w:rPr>
          <w:rFonts w:ascii="Century Gothic" w:hAnsi="Century Gothic"/>
          <w:sz w:val="16"/>
          <w:szCs w:val="16"/>
        </w:rPr>
        <w:t>DrEaMing</w:t>
      </w:r>
      <w:proofErr w:type="spellEnd"/>
      <w:r w:rsidRPr="0011734E">
        <w:rPr>
          <w:rFonts w:ascii="Century Gothic" w:hAnsi="Century Gothic"/>
          <w:sz w:val="16"/>
          <w:szCs w:val="16"/>
        </w:rPr>
        <w:t xml:space="preserve"> from PQIP: </w:t>
      </w:r>
      <w:hyperlink r:id="rId25" w:history="1">
        <w:r w:rsidRPr="0011734E">
          <w:rPr>
            <w:rStyle w:val="Hyperlink"/>
            <w:rFonts w:ascii="Century Gothic" w:hAnsi="Century Gothic"/>
            <w:sz w:val="16"/>
            <w:szCs w:val="16"/>
          </w:rPr>
          <w:t>https://pqip.org.uk/pages/dreamwebnov22</w:t>
        </w:r>
      </w:hyperlink>
      <w:r w:rsidRPr="0011734E">
        <w:rPr>
          <w:rFonts w:ascii="Century Gothic" w:hAnsi="Century Gothic"/>
          <w:sz w:val="18"/>
          <w:szCs w:val="18"/>
        </w:rPr>
        <w:t xml:space="preserve"> </w:t>
      </w:r>
    </w:p>
    <w:sectPr w:rsidR="00032F26" w:rsidRPr="0011734E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3575" w14:textId="77777777" w:rsidR="00F43949" w:rsidRDefault="00F43949" w:rsidP="00F43949">
      <w:pPr>
        <w:spacing w:after="0" w:line="240" w:lineRule="auto"/>
      </w:pPr>
      <w:r>
        <w:separator/>
      </w:r>
    </w:p>
  </w:endnote>
  <w:endnote w:type="continuationSeparator" w:id="0">
    <w:p w14:paraId="13E00F9A" w14:textId="77777777" w:rsidR="00F43949" w:rsidRDefault="00F43949" w:rsidP="00F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7E83" w14:textId="7D1ABE1B" w:rsidR="00F43949" w:rsidRDefault="00F43949">
    <w:pPr>
      <w:pStyle w:val="Footer"/>
    </w:pPr>
    <w:r>
      <w:rPr>
        <w:rFonts w:ascii="Century Gothic" w:hAnsi="Century Gothic"/>
        <w:noProof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4A4C932" wp14:editId="08BB0648">
          <wp:simplePos x="0" y="0"/>
          <wp:positionH relativeFrom="page">
            <wp:posOffset>-289560</wp:posOffset>
          </wp:positionH>
          <wp:positionV relativeFrom="paragraph">
            <wp:posOffset>-155575</wp:posOffset>
          </wp:positionV>
          <wp:extent cx="7851775" cy="984184"/>
          <wp:effectExtent l="0" t="0" r="0" b="6985"/>
          <wp:wrapNone/>
          <wp:docPr id="15" name="Picture 15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group of logos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6"/>
                  <a:stretch/>
                </pic:blipFill>
                <pic:spPr bwMode="auto">
                  <a:xfrm>
                    <a:off x="0" y="0"/>
                    <a:ext cx="7852262" cy="984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9E3D1" w14:textId="77777777" w:rsidR="00F43949" w:rsidRDefault="00F4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5FA8" w14:textId="77777777" w:rsidR="00F43949" w:rsidRDefault="00F43949" w:rsidP="00F43949">
      <w:pPr>
        <w:spacing w:after="0" w:line="240" w:lineRule="auto"/>
      </w:pPr>
      <w:r>
        <w:separator/>
      </w:r>
    </w:p>
  </w:footnote>
  <w:footnote w:type="continuationSeparator" w:id="0">
    <w:p w14:paraId="1D633F8D" w14:textId="77777777" w:rsidR="00F43949" w:rsidRDefault="00F43949" w:rsidP="00F4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6151" w14:textId="02235117" w:rsidR="00862C87" w:rsidRPr="00862C87" w:rsidRDefault="008055E6">
    <w:pPr>
      <w:pStyle w:val="Header"/>
      <w:rPr>
        <w:rFonts w:ascii="Century Gothic" w:hAnsi="Century Gothic"/>
        <w:sz w:val="21"/>
        <w:szCs w:val="21"/>
      </w:rPr>
    </w:pPr>
    <w:r>
      <w:rPr>
        <w:rFonts w:ascii="Century Gothic" w:hAnsi="Century Gothic"/>
        <w:sz w:val="21"/>
        <w:szCs w:val="21"/>
      </w:rPr>
      <w:t>v.2</w:t>
    </w:r>
    <w:r w:rsidR="00862C87" w:rsidRPr="00862C87">
      <w:rPr>
        <w:rFonts w:ascii="Century Gothic" w:hAnsi="Century Gothic"/>
        <w:sz w:val="21"/>
        <w:szCs w:val="21"/>
      </w:rPr>
      <w:t xml:space="preserve">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5254"/>
    <w:multiLevelType w:val="hybridMultilevel"/>
    <w:tmpl w:val="C0CE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B360F"/>
    <w:multiLevelType w:val="hybridMultilevel"/>
    <w:tmpl w:val="34086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AF06E1"/>
    <w:multiLevelType w:val="hybridMultilevel"/>
    <w:tmpl w:val="607C0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897B17"/>
    <w:multiLevelType w:val="hybridMultilevel"/>
    <w:tmpl w:val="C92C3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939986">
    <w:abstractNumId w:val="0"/>
  </w:num>
  <w:num w:numId="2" w16cid:durableId="371268660">
    <w:abstractNumId w:val="1"/>
  </w:num>
  <w:num w:numId="3" w16cid:durableId="808129769">
    <w:abstractNumId w:val="2"/>
  </w:num>
  <w:num w:numId="4" w16cid:durableId="152786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6"/>
    <w:rsid w:val="00032F26"/>
    <w:rsid w:val="00046789"/>
    <w:rsid w:val="000B4D1A"/>
    <w:rsid w:val="0011734E"/>
    <w:rsid w:val="00337905"/>
    <w:rsid w:val="00342742"/>
    <w:rsid w:val="004504C2"/>
    <w:rsid w:val="0048756C"/>
    <w:rsid w:val="005012A8"/>
    <w:rsid w:val="00505E7E"/>
    <w:rsid w:val="00514C0A"/>
    <w:rsid w:val="005275DD"/>
    <w:rsid w:val="005E2CB9"/>
    <w:rsid w:val="00730176"/>
    <w:rsid w:val="00763893"/>
    <w:rsid w:val="007920B2"/>
    <w:rsid w:val="0079297B"/>
    <w:rsid w:val="007F194F"/>
    <w:rsid w:val="008055E6"/>
    <w:rsid w:val="00862C87"/>
    <w:rsid w:val="00875E55"/>
    <w:rsid w:val="009B3E36"/>
    <w:rsid w:val="009E6A83"/>
    <w:rsid w:val="00A4026D"/>
    <w:rsid w:val="00B01153"/>
    <w:rsid w:val="00B84F0E"/>
    <w:rsid w:val="00B96AF0"/>
    <w:rsid w:val="00C1260D"/>
    <w:rsid w:val="00CE1AFE"/>
    <w:rsid w:val="00E16D21"/>
    <w:rsid w:val="00F4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4B7DAD"/>
  <w15:chartTrackingRefBased/>
  <w15:docId w15:val="{BCB6CC1B-D37D-4BDF-B4D1-435231CB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76"/>
  </w:style>
  <w:style w:type="paragraph" w:styleId="Heading1">
    <w:name w:val="heading 1"/>
    <w:basedOn w:val="Normal"/>
    <w:next w:val="Normal"/>
    <w:link w:val="Heading1Char"/>
    <w:uiPriority w:val="9"/>
    <w:qFormat/>
    <w:rsid w:val="0073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49"/>
  </w:style>
  <w:style w:type="paragraph" w:styleId="Footer">
    <w:name w:val="footer"/>
    <w:basedOn w:val="Normal"/>
    <w:link w:val="Foot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49"/>
  </w:style>
  <w:style w:type="character" w:styleId="FollowedHyperlink">
    <w:name w:val="FollowedHyperlink"/>
    <w:basedOn w:val="DefaultParagraphFont"/>
    <w:uiPriority w:val="99"/>
    <w:semiHidden/>
    <w:unhideWhenUsed/>
    <w:rsid w:val="001173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iencedirect.com/science/article/pii/S2772609624000261" TargetMode="External"/><Relationship Id="rId18" Type="http://schemas.openxmlformats.org/officeDocument/2006/relationships/hyperlink" Target="https://www.uhdb.nhs.uk/latest-news/new-fasting-guidance-allowing-adults-to-sip-water-before-surgery-or-procedure-launched-across-uhdb-16895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safercare.vic.gov.au/best-practice-improvement/clinical-guidance/non-urgent-elective-surgery/sip-til-send-fluid-fast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ssociationofanaesthetists-publications.onlinelibrary.wiley.com/doi/10.1002/anr3.12271" TargetMode="External"/><Relationship Id="rId17" Type="http://schemas.openxmlformats.org/officeDocument/2006/relationships/hyperlink" Target="https://www.youtube.com/watch?v=NlxgPRmtQLk" TargetMode="External"/><Relationship Id="rId25" Type="http://schemas.openxmlformats.org/officeDocument/2006/relationships/hyperlink" Target="https://pqip.org.uk/pages/dreamwebnov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Yc3LN2hILU" TargetMode="External"/><Relationship Id="rId20" Type="http://schemas.openxmlformats.org/officeDocument/2006/relationships/hyperlink" Target="https://abuhb.nhs.wales/news/news/sip-til-send-new-fasting-guidance-allowing-patients-to-sip-water-before-surgery-or-procedure-launche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fa.scot.nhs.uk/Resources/_docs/SHFA-SipTilSend-v1.1-November-2021.pdf" TargetMode="External"/><Relationship Id="rId24" Type="http://schemas.openxmlformats.org/officeDocument/2006/relationships/hyperlink" Target="https://secure.library.leicestershospitals.nhs.uk/PAGL/Shared%20Documents/Pre%20Operative%20Fasting%20for%20Adults%20and%20Children%20UHL%20Guidelin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janaesthesia.org/article/S0007-0912(19)31004-9/fulltext" TargetMode="External"/><Relationship Id="rId23" Type="http://schemas.openxmlformats.org/officeDocument/2006/relationships/hyperlink" Target="https://www.hse.ie/eng/about/who/acute-hospitals-division/hospital-groups/dublin-midlands-hospital-group/news/-sip-til-send-new-fasting-guidance-allowing-orthopaedic-patients-to-sip-water-before-surgery-launches-in-tullamore-hospital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jaopen.org/article/S2772-6096(24)00075-3/fulltext" TargetMode="External"/><Relationship Id="rId19" Type="http://schemas.openxmlformats.org/officeDocument/2006/relationships/hyperlink" Target="https://www.southtees.nhs.uk/resources/sip-til-se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aic.org/guideline/pre-operative-fasting-in-children/" TargetMode="External"/><Relationship Id="rId14" Type="http://schemas.openxmlformats.org/officeDocument/2006/relationships/hyperlink" Target="https://pubmed.ncbi.nlm.nih.gov/37982593/" TargetMode="External"/><Relationship Id="rId22" Type="http://schemas.openxmlformats.org/officeDocument/2006/relationships/hyperlink" Target="https://aci.health.nsw.gov.au/networks/anaesthesia-perioperative-care/resources/sip-til-send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DDF3-AAD1-4A9B-B733-51962FF0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MCNALLY, Scarlett (EAST SUSSEX HEALTHCARE NHS TRUST)</dc:creator>
  <cp:keywords/>
  <dc:description/>
  <cp:lastModifiedBy>Alice Simpson</cp:lastModifiedBy>
  <cp:revision>3</cp:revision>
  <dcterms:created xsi:type="dcterms:W3CDTF">2025-04-29T13:45:00Z</dcterms:created>
  <dcterms:modified xsi:type="dcterms:W3CDTF">2025-04-29T13:45:00Z</dcterms:modified>
</cp:coreProperties>
</file>